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424" w:rsidRDefault="00AA7424" w:rsidP="00AA74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424">
        <w:rPr>
          <w:rFonts w:ascii="Times New Roman" w:hAnsi="Times New Roman" w:cs="Times New Roman"/>
          <w:b/>
          <w:sz w:val="28"/>
          <w:szCs w:val="28"/>
        </w:rPr>
        <w:t>Вопросы для подготовки к тестовому опросу 2</w:t>
      </w:r>
    </w:p>
    <w:p w:rsidR="00000000" w:rsidRPr="00CF4F0C" w:rsidRDefault="00C310D5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к</w:t>
      </w:r>
      <w:r w:rsidR="00AA7424" w:rsidRPr="00CF4F0C">
        <w:rPr>
          <w:rFonts w:ascii="Times New Roman" w:hAnsi="Times New Roman" w:cs="Times New Roman"/>
          <w:sz w:val="28"/>
          <w:szCs w:val="28"/>
        </w:rPr>
        <w:t>апитал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7424" w:rsidRPr="00CF4F0C">
        <w:rPr>
          <w:rFonts w:ascii="Times New Roman" w:hAnsi="Times New Roman" w:cs="Times New Roman"/>
          <w:sz w:val="28"/>
          <w:szCs w:val="28"/>
        </w:rPr>
        <w:t xml:space="preserve"> предприятия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hAnsi="Times New Roman" w:cs="Times New Roman"/>
          <w:sz w:val="28"/>
          <w:szCs w:val="28"/>
        </w:rPr>
        <w:t>Цена капитала предприятия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hAnsi="Times New Roman" w:cs="Times New Roman"/>
          <w:sz w:val="28"/>
          <w:szCs w:val="28"/>
        </w:rPr>
        <w:t>Средневзвешенная стоимость капитала</w:t>
      </w:r>
    </w:p>
    <w:p w:rsidR="00AA7424" w:rsidRPr="00CF4F0C" w:rsidRDefault="00C310D5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AA7424" w:rsidRPr="00CF4F0C">
        <w:rPr>
          <w:rFonts w:ascii="Times New Roman" w:eastAsia="Times New Roman" w:hAnsi="Times New Roman" w:cs="Times New Roman"/>
          <w:sz w:val="28"/>
          <w:szCs w:val="28"/>
        </w:rPr>
        <w:t>феры  использования  показателя стоимости капитала в деятельности предприятия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Принцип  предварительной  поэлементной  оценки  стоимости  капитала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Принцип  обобщающей  оценки  стоимости  капитала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Принцип сопоставимости оценки стоимости собственного и заемного капитала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Принцип динамической оценки стоимости капитала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 xml:space="preserve">Принцип  взаимосвязи  оценки  текущей  и  предстоящей  средневзвешенной  стоимости  капитала  предприятия.  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 xml:space="preserve">Принцип  определения  границы  эффективного  использования дополнительно привлекаемого капитала. </w:t>
      </w:r>
    </w:p>
    <w:p w:rsidR="00AA7424" w:rsidRPr="00CF4F0C" w:rsidRDefault="00AA7424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финансового кредита</w:t>
      </w:r>
    </w:p>
    <w:p w:rsidR="00CF4F0C" w:rsidRPr="00CF4F0C" w:rsidRDefault="00C310D5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F4F0C" w:rsidRPr="00CF4F0C">
        <w:rPr>
          <w:rFonts w:ascii="Times New Roman" w:eastAsia="Times New Roman" w:hAnsi="Times New Roman" w:cs="Times New Roman"/>
          <w:sz w:val="28"/>
          <w:szCs w:val="28"/>
        </w:rPr>
        <w:t>тоимость банковского кредита</w:t>
      </w:r>
    </w:p>
    <w:p w:rsidR="00CF4F0C" w:rsidRPr="00CF4F0C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 xml:space="preserve">Стоимость финансового лизинга </w:t>
      </w:r>
    </w:p>
    <w:p w:rsidR="00CF4F0C" w:rsidRPr="00CF4F0C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заемного капитала,</w:t>
      </w:r>
      <w:r w:rsidR="00C310D5">
        <w:rPr>
          <w:rFonts w:ascii="Times New Roman" w:eastAsia="Times New Roman" w:hAnsi="Times New Roman" w:cs="Times New Roman"/>
          <w:sz w:val="28"/>
          <w:szCs w:val="28"/>
        </w:rPr>
        <w:t xml:space="preserve"> привлекаемого в виде облигационного займа</w:t>
      </w:r>
    </w:p>
    <w:p w:rsidR="00CF4F0C" w:rsidRPr="00CF4F0C" w:rsidRDefault="00C310D5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F4F0C" w:rsidRPr="00CF4F0C">
        <w:rPr>
          <w:rFonts w:ascii="Times New Roman" w:eastAsia="Times New Roman" w:hAnsi="Times New Roman" w:cs="Times New Roman"/>
          <w:sz w:val="28"/>
          <w:szCs w:val="28"/>
        </w:rPr>
        <w:t>тоимость товарного (коммерческого) кредита</w:t>
      </w:r>
    </w:p>
    <w:p w:rsidR="00CF4F0C" w:rsidRPr="00CF4F0C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внутренней кредиторской задолженности</w:t>
      </w:r>
    </w:p>
    <w:p w:rsidR="00CF4F0C" w:rsidRPr="00CF4F0C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функционирующего собственного капитала</w:t>
      </w:r>
    </w:p>
    <w:p w:rsidR="00CF4F0C" w:rsidRPr="00CF4F0C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нераспределенной прибыли</w:t>
      </w:r>
    </w:p>
    <w:p w:rsidR="00CF4F0C" w:rsidRPr="00C310D5" w:rsidRDefault="00CF4F0C" w:rsidP="00CF4F0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дополнительно привлекаемого акционерного (паевого) капитала</w:t>
      </w:r>
    </w:p>
    <w:p w:rsidR="00C310D5" w:rsidRPr="00C310D5" w:rsidRDefault="00C310D5" w:rsidP="00C310D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F0C">
        <w:rPr>
          <w:rFonts w:ascii="Times New Roman" w:eastAsia="Times New Roman" w:hAnsi="Times New Roman" w:cs="Times New Roman"/>
          <w:sz w:val="28"/>
          <w:szCs w:val="28"/>
        </w:rPr>
        <w:t>Стоимость дополнительно привлекаемого акционерного (паевого) капитала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форме простых акций</w:t>
      </w:r>
    </w:p>
    <w:sectPr w:rsidR="00C310D5" w:rsidRPr="00C31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A6C8C"/>
    <w:multiLevelType w:val="hybridMultilevel"/>
    <w:tmpl w:val="23AA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7424"/>
    <w:rsid w:val="00AA7424"/>
    <w:rsid w:val="00C310D5"/>
    <w:rsid w:val="00CF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4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2013-12-27T06:56:00Z</dcterms:created>
  <dcterms:modified xsi:type="dcterms:W3CDTF">2013-12-27T07:19:00Z</dcterms:modified>
</cp:coreProperties>
</file>